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43"/>
        <w:gridCol w:w="5777"/>
        <w:tblGridChange w:id="0">
          <w:tblGrid>
            <w:gridCol w:w="2943"/>
            <w:gridCol w:w="577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2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670"/>
        <w:tblGridChange w:id="0">
          <w:tblGrid>
            <w:gridCol w:w="2972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Pagament total per participant:    </w:t>
        <w:tab/>
        <w:t xml:space="preserve"> €/participant</w:t>
      </w:r>
    </w:p>
    <w:p w:rsidR="00000000" w:rsidDel="00000000" w:rsidP="00000000" w:rsidRDefault="00000000" w:rsidRPr="00000000" w14:paraId="0000001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Forma de pagament: </w:t>
        <w:tab/>
        <w:tab/>
        <w:t xml:space="preserve">(trimestral | semestral |anual | pagament en finalitzar l’assaig)</w:t>
      </w:r>
    </w:p>
    <w:p w:rsidR="00000000" w:rsidDel="00000000" w:rsidP="00000000" w:rsidRDefault="00000000" w:rsidRPr="00000000" w14:paraId="0000001C">
      <w:pPr>
        <w:spacing w:after="0" w:lineRule="auto"/>
        <w:ind w:left="2124" w:firstLine="707.9999999999998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ALTRA FORMA:</w:t>
      </w:r>
    </w:p>
    <w:p w:rsidR="00000000" w:rsidDel="00000000" w:rsidP="00000000" w:rsidRDefault="00000000" w:rsidRPr="00000000" w14:paraId="0000001D">
      <w:pPr>
        <w:spacing w:after="0" w:lineRule="auto"/>
        <w:ind w:left="2124" w:firstLine="707.9999999999998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12.0" w:type="dxa"/>
        <w:jc w:val="left"/>
        <w:tblInd w:w="-6.999999999999993" w:type="dxa"/>
        <w:tblBorders>
          <w:top w:color="a6a6a6" w:space="0" w:sz="4" w:val="single"/>
          <w:bottom w:color="a6a6a6" w:space="0" w:sz="4" w:val="single"/>
        </w:tblBorders>
        <w:tblLayout w:type="fixed"/>
        <w:tblLook w:val="0000"/>
      </w:tblPr>
      <w:tblGrid>
        <w:gridCol w:w="8612"/>
        <w:tblGridChange w:id="0">
          <w:tblGrid>
            <w:gridCol w:w="8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(Insertar el desglosament de les visites realitzades)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ind w:left="2124" w:firstLine="707.9999999999998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Despeses d’administració i gestió (XX%): </w:t>
        <w:tab/>
        <w:tab/>
        <w:tab/>
        <w:tab/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XXX €/participant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Despeses per al desenvolupament del servei: </w:t>
        <w:tab/>
        <w:tab/>
        <w:tab/>
        <w:t xml:space="preserve">           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XXX €/participant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Les despeses per al desenvolupament del Servei es calcularan mitjançant la diferència entre l'import total per participanti les despeses consignades en la resta dels apartats.</w:t>
      </w:r>
    </w:p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Despeses per a la remuneració de l’equip investigador:</w:t>
        <w:tab/>
        <w:t xml:space="preserve"> </w:t>
        <w:tab/>
        <w:t xml:space="preserve">           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XXX €/participant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remuneració de l'investigador principal i dels col·laboradors de la investigació pels treballs realitzats fora de l'horari lboral no podrà superar el 45% de l'aportació total per participant.</w:t>
      </w:r>
    </w:p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(Cap membre l'equip investigador resident del cuv o del doo rebrà remuneració econòmica)</w:t>
      </w:r>
    </w:p>
    <w:tbl>
      <w:tblPr>
        <w:tblStyle w:val="Table4"/>
        <w:tblW w:w="8755.0" w:type="dxa"/>
        <w:jc w:val="left"/>
        <w:tblInd w:w="-115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6912"/>
        <w:gridCol w:w="1843"/>
        <w:tblGridChange w:id="0">
          <w:tblGrid>
            <w:gridCol w:w="6912"/>
            <w:gridCol w:w="1843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Assignació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Despeses d’altres Unitats implicades incloses en el total per </w:t>
      </w:r>
      <w:r w:rsidDel="00000000" w:rsidR="00000000" w:rsidRPr="00000000">
        <w:rPr>
          <w:rFonts w:ascii="Arial" w:cs="Arial" w:eastAsia="Arial" w:hAnsi="Arial"/>
          <w:rtl w:val="0"/>
        </w:rPr>
        <w:t xml:space="preserve">participant</w:t>
      </w:r>
      <w:r w:rsidDel="00000000" w:rsidR="00000000" w:rsidRPr="00000000">
        <w:rPr>
          <w:rtl w:val="0"/>
        </w:rPr>
      </w:r>
    </w:p>
    <w:tbl>
      <w:tblPr>
        <w:tblStyle w:val="Table5"/>
        <w:tblW w:w="8755.0" w:type="dxa"/>
        <w:jc w:val="left"/>
        <w:tblInd w:w="-115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6912"/>
        <w:gridCol w:w="1843"/>
        <w:tblGridChange w:id="0">
          <w:tblGrid>
            <w:gridCol w:w="6912"/>
            <w:gridCol w:w="18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de…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de…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de…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de…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</w:tbl>
    <w:p w:rsidR="00000000" w:rsidDel="00000000" w:rsidP="00000000" w:rsidRDefault="00000000" w:rsidRPr="00000000" w14:paraId="0000003D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p w:rsidR="00000000" w:rsidDel="00000000" w:rsidP="00000000" w:rsidRDefault="00000000" w:rsidRPr="00000000" w14:paraId="00000041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(Omplir en el cas d'existència de proves extraordinàries)</w:t>
      </w:r>
    </w:p>
    <w:p w:rsidR="00000000" w:rsidDel="00000000" w:rsidP="00000000" w:rsidRDefault="00000000" w:rsidRPr="00000000" w14:paraId="0000004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39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9"/>
        <w:gridCol w:w="3827"/>
        <w:gridCol w:w="1559"/>
        <w:gridCol w:w="1347"/>
        <w:gridCol w:w="1347"/>
        <w:tblGridChange w:id="0">
          <w:tblGrid>
            <w:gridCol w:w="959"/>
            <w:gridCol w:w="3827"/>
            <w:gridCol w:w="1559"/>
            <w:gridCol w:w="1347"/>
            <w:gridCol w:w="134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13" w:right="113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CUV (Indicar nom de la Unitat)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proves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Import unitari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Import total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(Indicar el nom de la prova)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bfbfbf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a6a6a6" w:space="0" w:sz="4" w:val="single"/>
              <w:left w:color="000000" w:space="0" w:sz="0" w:val="nil"/>
              <w:bottom w:color="000000" w:space="0" w:sz="0" w:val="nil"/>
              <w:right w:color="a6a6a6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</w:tbl>
    <w:p w:rsidR="00000000" w:rsidDel="00000000" w:rsidP="00000000" w:rsidRDefault="00000000" w:rsidRPr="00000000" w14:paraId="0000006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(Omplir en el cas d'existència d'altres pagaments exclosos del pagament total per participant)</w:t>
      </w:r>
    </w:p>
    <w:p w:rsidR="00000000" w:rsidDel="00000000" w:rsidP="00000000" w:rsidRDefault="00000000" w:rsidRPr="00000000" w14:paraId="0000006E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39.0" w:type="dxa"/>
        <w:jc w:val="left"/>
        <w:tblInd w:w="-115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000"/>
      </w:tblPr>
      <w:tblGrid>
        <w:gridCol w:w="2235"/>
        <w:gridCol w:w="5386"/>
        <w:gridCol w:w="1418"/>
        <w:tblGridChange w:id="0">
          <w:tblGrid>
            <w:gridCol w:w="2235"/>
            <w:gridCol w:w="5386"/>
            <w:gridCol w:w="14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Servei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Concepte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Import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€</w:t>
            </w:r>
          </w:p>
        </w:tc>
      </w:tr>
    </w:tbl>
    <w:p w:rsidR="00000000" w:rsidDel="00000000" w:rsidP="00000000" w:rsidRDefault="00000000" w:rsidRPr="00000000" w14:paraId="0000007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Terrassa, a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(dia)</w:t>
      </w:r>
      <w:r w:rsidDel="00000000" w:rsidR="00000000" w:rsidRPr="00000000">
        <w:rPr>
          <w:rFonts w:ascii="Arial" w:cs="Arial" w:eastAsia="Arial" w:hAnsi="Arial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(mes)</w:t>
      </w:r>
      <w:r w:rsidDel="00000000" w:rsidR="00000000" w:rsidRPr="00000000">
        <w:rPr>
          <w:rFonts w:ascii="Arial" w:cs="Arial" w:eastAsia="Arial" w:hAnsi="Arial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39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322"/>
        <w:gridCol w:w="4717"/>
        <w:tblGridChange w:id="0">
          <w:tblGrid>
            <w:gridCol w:w="4322"/>
            <w:gridCol w:w="47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(nom , cognoms i signatura de l’investigador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Investigador/a Principal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(nom , cognoms i signatura del director tècnic del CUV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Director/a tècnic/a del CUV</w:t>
            </w:r>
          </w:p>
        </w:tc>
      </w:tr>
    </w:tbl>
    <w:p w:rsidR="00000000" w:rsidDel="00000000" w:rsidP="00000000" w:rsidRDefault="00000000" w:rsidRPr="00000000" w14:paraId="0000008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9"/>
      <w:tblW w:w="8789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3686"/>
      <w:gridCol w:w="2551"/>
      <w:tblGridChange w:id="0">
        <w:tblGrid>
          <w:gridCol w:w="2552"/>
          <w:gridCol w:w="3686"/>
          <w:gridCol w:w="2551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Memòria econòmica</w:t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5ZnHbDm6VMdUBL4Vwqq1w5d/fg==">CgMxLjAyCGguZ2pkZ3hzOAByITFyY01Cb2RoNlZlaFRONFRkRGhRUFN4ekl5M1V4MnhvTA==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